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9"/>
          <w:sz w:val="32"/>
          <w:szCs w:val="32"/>
          <w:lang w:val="en-US" w:eastAsia="zh-CN"/>
        </w:rPr>
        <w:t>附件3</w:t>
      </w:r>
    </w:p>
    <w:p>
      <w:pPr>
        <w:widowControl/>
        <w:jc w:val="left"/>
        <w:rPr>
          <w:rFonts w:ascii="Times New Roman" w:hAnsi="Times New Roman" w:eastAsia="仿宋_GB2312"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sz w:val="48"/>
          <w:szCs w:val="48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sz w:val="48"/>
          <w:szCs w:val="48"/>
        </w:rPr>
        <w:t>节水</w:t>
      </w:r>
      <w:r>
        <w:rPr>
          <w:rFonts w:hint="eastAsia" w:ascii="Times New Roman" w:hAnsi="Times New Roman" w:eastAsia="方正小标宋简体"/>
          <w:bCs/>
          <w:color w:val="000000"/>
          <w:sz w:val="48"/>
          <w:szCs w:val="48"/>
          <w:lang w:val="en-US" w:eastAsia="zh-CN"/>
        </w:rPr>
        <w:t>型</w:t>
      </w:r>
      <w:r>
        <w:rPr>
          <w:rFonts w:ascii="Times New Roman" w:hAnsi="Times New Roman" w:eastAsia="方正小标宋简体"/>
          <w:bCs/>
          <w:color w:val="000000"/>
          <w:sz w:val="48"/>
          <w:szCs w:val="48"/>
        </w:rPr>
        <w:t>企业申请报告</w:t>
      </w:r>
    </w:p>
    <w:bookmarkEnd w:id="0"/>
    <w:p>
      <w:pPr>
        <w:widowControl/>
        <w:jc w:val="center"/>
        <w:rPr>
          <w:rFonts w:ascii="Times New Roman" w:hAnsi="Times New Roman" w:eastAsia="楷体_GB2312"/>
          <w:bCs/>
          <w:color w:val="000000"/>
          <w:sz w:val="36"/>
          <w:szCs w:val="36"/>
        </w:rPr>
      </w:pPr>
      <w:r>
        <w:rPr>
          <w:rFonts w:ascii="Times New Roman" w:hAnsi="Times New Roman" w:eastAsia="楷体_GB2312"/>
          <w:bCs/>
          <w:color w:val="000000"/>
          <w:sz w:val="36"/>
          <w:szCs w:val="36"/>
        </w:rPr>
        <w:t>（编写格式）</w:t>
      </w: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widowControl/>
        <w:jc w:val="center"/>
        <w:rPr>
          <w:rFonts w:ascii="Times New Roman" w:hAnsi="Times New Roman" w:eastAsia="仿宋_GB2312"/>
          <w:b/>
          <w:color w:val="000000"/>
          <w:sz w:val="44"/>
        </w:rPr>
      </w:pPr>
    </w:p>
    <w:p>
      <w:pPr>
        <w:spacing w:line="600" w:lineRule="exact"/>
        <w:ind w:firstLine="1920" w:firstLineChars="600"/>
        <w:rPr>
          <w:rFonts w:hint="eastAsia" w:ascii="Times New Roman" w:hAnsi="Times New Roman" w:eastAsia="仿宋_GB2312"/>
          <w:sz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</w:rPr>
        <w:t>申请单位：</w:t>
      </w:r>
    </w:p>
    <w:p>
      <w:pPr>
        <w:spacing w:line="600" w:lineRule="exact"/>
        <w:ind w:firstLine="1920" w:firstLineChars="600"/>
        <w:rPr>
          <w:rFonts w:hint="eastAsia" w:ascii="Times New Roman" w:hAnsi="Times New Roman" w:eastAsia="仿宋_GB2312"/>
          <w:sz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</w:rPr>
        <w:t>所属地市：</w:t>
      </w:r>
    </w:p>
    <w:p>
      <w:pPr>
        <w:spacing w:line="600" w:lineRule="exact"/>
        <w:ind w:firstLine="1920" w:firstLineChars="600"/>
        <w:rPr>
          <w:rFonts w:hint="eastAsia" w:ascii="Times New Roman" w:hAnsi="Times New Roman" w:eastAsia="仿宋_GB2312"/>
          <w:sz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</w:rPr>
        <w:t>所属行业：</w:t>
      </w:r>
    </w:p>
    <w:p>
      <w:pPr>
        <w:spacing w:line="600" w:lineRule="exact"/>
        <w:ind w:firstLine="1920" w:firstLineChars="600"/>
        <w:rPr>
          <w:rFonts w:ascii="Times New Roman" w:hAnsi="Times New Roman" w:eastAsia="仿宋_GB2312"/>
          <w:sz w:val="32"/>
          <w:u w:val="single"/>
        </w:rPr>
        <w:sectPr>
          <w:pgSz w:w="11905" w:h="16838"/>
          <w:pgMar w:top="1417" w:right="1417" w:bottom="1417" w:left="141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8" w:charSpace="0"/>
        </w:sectPr>
      </w:pPr>
      <w:r>
        <w:rPr>
          <w:rFonts w:ascii="Times New Roman" w:hAnsi="Times New Roman" w:eastAsia="仿宋_GB2312"/>
          <w:sz w:val="32"/>
        </w:rPr>
        <w:t>申请日期：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32"/>
        </w:rPr>
        <w:t>日</w:t>
      </w:r>
    </w:p>
    <w:p>
      <w:pPr>
        <w:widowControl/>
        <w:jc w:val="center"/>
        <w:rPr>
          <w:rFonts w:ascii="Times New Roman" w:hAnsi="Times New Roman" w:eastAsia="仿宋_GB2312"/>
          <w:color w:val="000000"/>
          <w:sz w:val="44"/>
        </w:rPr>
      </w:pPr>
      <w:r>
        <w:rPr>
          <w:rFonts w:ascii="Times New Roman" w:hAnsi="Times New Roman" w:eastAsia="方正小标宋简体"/>
          <w:color w:val="000000"/>
          <w:sz w:val="44"/>
        </w:rPr>
        <w:t>填写说明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1.申报企业</w:t>
      </w:r>
      <w:r>
        <w:rPr>
          <w:rFonts w:hint="eastAsia" w:ascii="Times New Roman" w:hAnsi="Times New Roman" w:eastAsia="仿宋_GB2312"/>
          <w:sz w:val="32"/>
        </w:rPr>
        <w:t>相关水效指标</w:t>
      </w:r>
      <w:r>
        <w:rPr>
          <w:rFonts w:ascii="Times New Roman" w:hAnsi="Times New Roman" w:eastAsia="仿宋_GB2312"/>
          <w:sz w:val="32"/>
        </w:rPr>
        <w:t>应优于</w:t>
      </w:r>
      <w:r>
        <w:rPr>
          <w:rFonts w:ascii="Times New Roman" w:hAnsi="Times New Roman" w:eastAsia="仿宋_GB2312"/>
          <w:sz w:val="32"/>
          <w:szCs w:val="32"/>
        </w:rPr>
        <w:t>所属行业节水型企业国家标准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和河南省用水定额地方标准</w:t>
      </w:r>
      <w:r>
        <w:rPr>
          <w:rFonts w:ascii="Times New Roman" w:hAnsi="Times New Roman" w:eastAsia="仿宋_GB2312"/>
          <w:sz w:val="32"/>
          <w:szCs w:val="32"/>
        </w:rPr>
        <w:t>要求</w:t>
      </w:r>
      <w:r>
        <w:rPr>
          <w:rFonts w:ascii="Times New Roman" w:hAnsi="Times New Roman" w:eastAsia="仿宋_GB2312"/>
          <w:sz w:val="32"/>
        </w:rPr>
        <w:t>，企业应按要求如实编写申请报告，并提供必要的证明材料。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2.申请报告包含但不限于下列内容：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（1）企业基本信息表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（2）企业水效分析报告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sz w:val="32"/>
        </w:rPr>
        <w:t>（3）企业自评表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3.以上材料需按顺序编排，并在相应位置加盖公章。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b/>
          <w:color w:val="000000"/>
          <w:kern w:val="0"/>
          <w:sz w:val="36"/>
        </w:rPr>
        <w:br w:type="page"/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  <w:t>企业基本信息表</w:t>
      </w:r>
    </w:p>
    <w:tbl>
      <w:tblPr>
        <w:tblStyle w:val="3"/>
        <w:tblW w:w="8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37"/>
        <w:gridCol w:w="1483"/>
        <w:gridCol w:w="136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6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通信地址</w:t>
            </w:r>
          </w:p>
        </w:tc>
        <w:tc>
          <w:tcPr>
            <w:tcW w:w="3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企业人数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电话/传真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节水管理部门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电话/传真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节水管理负责人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电话/传真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主要产品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水源类型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上年总产值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上年取水量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申请企业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自评结果</w:t>
            </w:r>
          </w:p>
        </w:tc>
        <w:tc>
          <w:tcPr>
            <w:tcW w:w="6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经对照标准和要求进行自查，符合节水型企业的基本要求，管理评价得分为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分，技术评价得分为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分，总分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分。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符合节水型企业标准，申请审核验收。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申请企业：（公章）</w:t>
            </w:r>
          </w:p>
          <w:p>
            <w:pPr>
              <w:spacing w:line="460" w:lineRule="exact"/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推荐单位意见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6120" w:firstLineChars="2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5520" w:firstLineChars="2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推荐单位公章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460" w:lineRule="exact"/>
              <w:ind w:firstLine="5760" w:firstLineChars="2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ind w:firstLine="420"/>
        <w:jc w:val="center"/>
        <w:outlineLvl w:val="0"/>
        <w:rPr>
          <w:rFonts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  <w:t>节水型企业创建工作自评总结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  <w:t>报告</w:t>
      </w:r>
    </w:p>
    <w:p>
      <w:pPr>
        <w:widowControl/>
        <w:spacing w:line="560" w:lineRule="exact"/>
        <w:ind w:firstLine="420"/>
        <w:jc w:val="center"/>
        <w:outlineLvl w:val="0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提纲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）</w:t>
      </w:r>
    </w:p>
    <w:p>
      <w:pPr>
        <w:widowControl/>
        <w:spacing w:line="560" w:lineRule="exact"/>
        <w:ind w:firstLine="723"/>
        <w:jc w:val="left"/>
        <w:rPr>
          <w:rFonts w:ascii="Times New Roman" w:hAnsi="Times New Roman" w:eastAsia="仿宋_GB2312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</w:rPr>
        <w:t>（一）企业基本情况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</w:rPr>
        <w:t>包括企业地理位置（流域）、近三年的生产规模、产品结构、历年产量产值、组织结构、员工人数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</w:rPr>
        <w:t>生产情况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</w:rPr>
        <w:t>包括企业生产的主要原材料消耗、能源消耗、主要用水环节和用水设备等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</w:rPr>
        <w:t>取用水情况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40"/>
        </w:rPr>
        <w:t>包括企业的取水水源（常规水资源、非常规水资源）、取水量、排水量、用水计量设备配备、用水计量、水质数据监测等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。对照相关行业节水型企业标准，各技术指标值相关情况。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二、工艺及技术水平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（一）主要工艺流程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</w:rPr>
        <w:t>包括企业生产主要工艺流程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以及</w:t>
      </w:r>
      <w:r>
        <w:rPr>
          <w:rFonts w:ascii="Times New Roman" w:hAnsi="Times New Roman" w:eastAsia="仿宋_GB2312"/>
          <w:color w:val="000000"/>
          <w:sz w:val="32"/>
        </w:rPr>
        <w:t>工艺流程图等。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（二）主要用水设备规模及其技术水平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</w:rPr>
        <w:t>包括企业循环水系统、冷却塔、换热器、锅炉、制冷、制氧、软化处理、污水处理等主要用水设备的设备配置、服务区域、运行情况、处理能力等，以及主要用水设备的技术水平情况。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（三）与国内外同类企业相比在节水方面的突出做法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</w:rPr>
        <w:t>采取的先进节水工艺技术和装备情况、节水技术改造项目情况、节水管理措施等。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三、取用水情况及水效指标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（一）主要用水工序、用水设备的取用水情况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</w:rPr>
        <w:t>包括企业生产主要用水工序、用水设备的取水量、排水量、水质情况等。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（二）近三年单位产品取水量及水效指标</w:t>
      </w:r>
      <w:r>
        <w:rPr>
          <w:rFonts w:hint="eastAsia" w:ascii="楷体" w:hAnsi="楷体" w:eastAsia="楷体" w:cs="楷体"/>
          <w:color w:val="000000"/>
          <w:sz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</w:rPr>
        <w:t>水效指标主要包括单位产品取水量、重复利用率、循环利用率、废水回用率、用水综合漏失率等。具体指标要求及报表格式依据《节水型企业评价导则》（GB/T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</w:rPr>
        <w:t>7119</w:t>
      </w:r>
      <w:r>
        <w:rPr>
          <w:rFonts w:hint="eastAsia" w:ascii="Times New Roman" w:hAnsi="Times New Roman" w:eastAsia="仿宋_GB2312"/>
          <w:color w:val="000000"/>
          <w:sz w:val="32"/>
        </w:rPr>
        <w:t>—</w:t>
      </w:r>
      <w:r>
        <w:rPr>
          <w:rFonts w:ascii="Times New Roman" w:hAnsi="Times New Roman" w:eastAsia="仿宋_GB2312"/>
          <w:color w:val="000000"/>
          <w:sz w:val="32"/>
        </w:rPr>
        <w:t>2018）、《用水单位水计量器具配备和管理通则》（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GB/T 24789</w:t>
      </w:r>
      <w:r>
        <w:rPr>
          <w:rFonts w:hint="eastAsia" w:ascii="Times New Roman" w:hAnsi="Times New Roman" w:eastAsia="仿宋_GB2312"/>
          <w:color w:val="000000"/>
          <w:sz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/>
          <w:color w:val="000000"/>
          <w:sz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《用水单位节水评价规范  工业企业》（DB41/T 2677</w:t>
      </w:r>
      <w:r>
        <w:rPr>
          <w:rFonts w:hint="eastAsia" w:ascii="Times New Roman" w:hAnsi="Times New Roman" w:eastAsia="仿宋_GB2312"/>
          <w:color w:val="000000"/>
          <w:sz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2024）</w:t>
      </w:r>
      <w:r>
        <w:rPr>
          <w:rFonts w:ascii="Times New Roman" w:hAnsi="Times New Roman" w:eastAsia="仿宋_GB2312"/>
          <w:color w:val="000000"/>
          <w:sz w:val="32"/>
        </w:rPr>
        <w:t>及相关行业节水型企业标准。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四、水效提升经验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（一）企业节水管理经验。</w:t>
      </w:r>
      <w:r>
        <w:rPr>
          <w:rFonts w:ascii="Times New Roman" w:hAnsi="Times New Roman" w:eastAsia="仿宋_GB2312"/>
          <w:color w:val="000000"/>
          <w:sz w:val="32"/>
        </w:rPr>
        <w:t>介绍企业在节水方面采取的管理措施、方法以及制定的相应管理制度以及取得的效果。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（二）企业节水技术改造经验。</w:t>
      </w:r>
      <w:r>
        <w:rPr>
          <w:rFonts w:ascii="Times New Roman" w:hAnsi="Times New Roman" w:eastAsia="仿宋_GB2312"/>
          <w:color w:val="000000"/>
          <w:sz w:val="32"/>
        </w:rPr>
        <w:t>介绍企业采用的先进节水技术、装备和产品，采取的优化运行、水重复利用等方面的节水措施以及取得的节水效益。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（三）重大节水工程。</w:t>
      </w:r>
      <w:r>
        <w:rPr>
          <w:rFonts w:ascii="Times New Roman" w:hAnsi="Times New Roman" w:eastAsia="仿宋_GB2312"/>
          <w:color w:val="000000"/>
          <w:sz w:val="32"/>
        </w:rPr>
        <w:t>介绍企业实施的重大节水技术改造工程，包括种类、数量以及因此取得的节水效益。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五、未来三年拟采取的主要水效提升措施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未来三年拟采取的主要水效提升措施，如节水技术改造项目（如水重复利用、非常规水利用等）、节水管理措施（如用水管理负责人制度、合同节水管理等）。请分项简述建设内容、预期投资和预期节水效果。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六、证明材料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此部分包括但不限于以下材料：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（一）企业营业执照复印件，企业组织机构代码证复印件；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（二）企业取水相关证明材料（取水许可证或用水合同协议、废水达标排放、近三年用水无超计划等。若地方部门并无相关证明，可由企业书面做出相应承诺）；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（三）企业用水相关材料（企业用水记录、统计报表、费用账单、水计量器具台账、供排水管网图、维修及校验记录等）；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（四）企业用水设备相关材料（用水设备设计图纸、设备配置情况、运行记录、节水设施现场图片资料等）；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（五）企业节水管理相关材料（水平衡测试报告、节水管理制度文件、节水规划和年度节水计划文件、节水统计报表等）。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</w:rPr>
      </w:pPr>
      <w:r>
        <w:rPr>
          <w:rFonts w:hint="eastAsia" w:ascii="Times New Roman" w:hAnsi="Times New Roman" w:eastAsia="黑体"/>
          <w:color w:val="000000"/>
          <w:sz w:val="32"/>
        </w:rPr>
        <w:t>七、</w:t>
      </w:r>
      <w:r>
        <w:rPr>
          <w:rFonts w:ascii="Times New Roman" w:hAnsi="Times New Roman" w:eastAsia="黑体"/>
          <w:color w:val="000000"/>
          <w:sz w:val="32"/>
        </w:rPr>
        <w:t>企业自评表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楷体" w:hAnsi="楷体" w:eastAsia="楷体" w:cs="楷体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（一）自评总则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企业自评表分为一票否决指标和量化评价指标。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2.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一票否决指标如有不满足项，取消该企业评选资格，不参加后续量化打分。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0"/>
        <w:rPr>
          <w:rFonts w:hint="eastAsia" w:ascii="楷体" w:hAnsi="楷体" w:eastAsia="楷体" w:cs="楷体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（二）一票否决指标</w:t>
      </w:r>
    </w:p>
    <w:tbl>
      <w:tblPr>
        <w:tblStyle w:val="3"/>
        <w:tblW w:w="9280" w:type="dxa"/>
        <w:jc w:val="center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28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有取用水资源的合法手续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近三年用水无超计划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近三年内未发生重大安全和环境事故，无违法行为，未被列入企业经营异常名录或严重违法失信企业名单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上一年度单位产品取水量达到节水型企业国家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和地方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未使用国家明令禁止或列入禁止、淘汰目录的用水设备和器具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新建、改建、扩建项目时实施节水“三同时”“四到位”制度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120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水计量器具配备满足国家标准《用水单位水计量器具配备和管理通则》（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GB/T 24789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）要求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12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□是□否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outlineLvl w:val="0"/>
        <w:rPr>
          <w:rFonts w:hint="eastAsia" w:ascii="楷体" w:hAnsi="楷体" w:eastAsia="楷体" w:cs="楷体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z w:val="32"/>
        </w:rPr>
        <w:t>（三）量化评价指标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量化评价指标分为管理考核指标和技术考核指标，评价总分≥80分可被认定为达到节水型企业标准。</w:t>
      </w:r>
    </w:p>
    <w:p>
      <w:pPr>
        <w:spacing w:line="46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管理考核指标</w:t>
      </w:r>
    </w:p>
    <w:tbl>
      <w:tblPr>
        <w:tblStyle w:val="5"/>
        <w:tblW w:w="9237" w:type="dxa"/>
        <w:jc w:val="center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3917"/>
        <w:gridCol w:w="1065"/>
        <w:gridCol w:w="2296"/>
        <w:gridCol w:w="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201" w:type="dxa"/>
            <w:tcBorders>
              <w:lef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评价指标</w:t>
            </w:r>
          </w:p>
        </w:tc>
        <w:tc>
          <w:tcPr>
            <w:tcW w:w="391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评分细则</w:t>
            </w:r>
          </w:p>
        </w:tc>
        <w:tc>
          <w:tcPr>
            <w:tcW w:w="10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满分</w:t>
            </w:r>
          </w:p>
        </w:tc>
        <w:tc>
          <w:tcPr>
            <w:tcW w:w="2296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企业自评</w:t>
            </w:r>
          </w:p>
        </w:tc>
        <w:tc>
          <w:tcPr>
            <w:tcW w:w="758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tcBorders>
              <w:lef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管理机构</w:t>
            </w:r>
          </w:p>
        </w:tc>
        <w:tc>
          <w:tcPr>
            <w:tcW w:w="391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1.成立节水机构或部门，并建立节水管理岗位责任制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2.明确节水主管领导并有专（兼）职节水管理人员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tcBorders>
              <w:lef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管理制度</w:t>
            </w:r>
          </w:p>
        </w:tc>
        <w:tc>
          <w:tcPr>
            <w:tcW w:w="391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1.建立用水设备管理、用水计量、统计管理、巡回检查、维修等节水管理制度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2.制定节水目标责任制和考核制度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3.编制用水建议计划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2296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tcBorders>
              <w:lef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运行管理</w:t>
            </w:r>
          </w:p>
        </w:tc>
        <w:tc>
          <w:tcPr>
            <w:tcW w:w="391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1.用水设施（设备）运行良好；定期巡查和维修用水设施设备且记录完整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2.近5年内利用水平衡测试等方式进行节水诊断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3.近5年内对用水系统、主要用水环节进行节水技术改造，采用节水技术、工艺、产品和设备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tcBorders>
              <w:lef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计量管理</w:t>
            </w:r>
          </w:p>
        </w:tc>
        <w:tc>
          <w:tcPr>
            <w:tcW w:w="391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1.水计量器具运行良好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定期检定或比测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2.用水原始记录和统计台账记录完整；落实台账管理人员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3.有完整的供水管网图、排水管网图和用水计量网络图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4.有年度用水统计报表，且用水统计数据完整规范；按期向有关部门报送年度用水统计报表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5.建立用水实时监控系统/平台，或能耗监控平台涵盖了用水系统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15</w:t>
            </w:r>
          </w:p>
        </w:tc>
        <w:tc>
          <w:tcPr>
            <w:tcW w:w="2296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tcBorders>
              <w:lef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节水宣传</w:t>
            </w:r>
          </w:p>
        </w:tc>
        <w:tc>
          <w:tcPr>
            <w:tcW w:w="391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1.编制节水宣传材料，普及宣传节水相关知识、政策要求与经验做法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2.积极开展以节水为主题的宣传与培训活动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3.主要用水场所、用水器具显著位置张贴节水标语标识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2296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tcBorders>
              <w:lef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节水考核</w:t>
            </w:r>
          </w:p>
        </w:tc>
        <w:tc>
          <w:tcPr>
            <w:tcW w:w="391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1.每年至少开展节水考核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2.落实节奖超罚制度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118" w:type="dxa"/>
            <w:gridSpan w:val="2"/>
            <w:tcBorders>
              <w:lef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小计</w:t>
            </w:r>
          </w:p>
        </w:tc>
        <w:tc>
          <w:tcPr>
            <w:tcW w:w="1065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50</w:t>
            </w:r>
          </w:p>
        </w:tc>
        <w:tc>
          <w:tcPr>
            <w:tcW w:w="2296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color="000000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2.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技术考核指标</w:t>
      </w:r>
    </w:p>
    <w:tbl>
      <w:tblPr>
        <w:tblStyle w:val="3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79"/>
        <w:gridCol w:w="1631"/>
        <w:gridCol w:w="2538"/>
        <w:gridCol w:w="965"/>
        <w:gridCol w:w="900"/>
        <w:gridCol w:w="9"/>
        <w:gridCol w:w="128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自评说明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单位用水量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单位产品用水量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-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分级计量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次级用水单位用水计量率和主要用水设备用水计量率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重复利用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用水重复利用率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直接冷却水循环利用率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间接冷却水循环利用率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循环水浓缩倍数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-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蒸汽冷凝水回（收）用率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废水回用率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漏损控制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用水综合漏失率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非常规水利用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非常规水利用（不含再生水与矿坑排水）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-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废水处理回用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-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再生水（或矿坑排水）利用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-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1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节水器具利用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生活节水器具普及率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</w:trPr>
        <w:tc>
          <w:tcPr>
            <w:tcW w:w="6013" w:type="dxa"/>
            <w:gridSpan w:val="4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909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各参数计算方法参见《节水型企业评价导则》（GB/T7119-2018）；非常规水源利用情况主要评价再生水、矿坑水、微咸水利用，以及雨水积蓄、纯净水制水尾水和空调冷凝水回收利用等。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技术指标有空项的企业，可按其余项目达标情况进行折算，公式如下：</w:t>
      </w:r>
    </w:p>
    <w:p>
      <w:r>
        <w:rPr>
          <w:rFonts w:ascii="仿宋_GB2312" w:eastAsia="仿宋_GB2312"/>
          <w:kern w:val="0"/>
          <w:position w:val="-44"/>
          <w:sz w:val="32"/>
          <w:szCs w:val="32"/>
        </w:rPr>
        <w:object>
          <v:shape id="_x0000_i1025" o:spt="75" type="#_x0000_t75" style="height:58.75pt;width:271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仿宋_GB2312"/>
    <w:panose1 w:val="02010600010101010101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B74C6"/>
    <w:rsid w:val="575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2025-08-04T01:51:00Z</dcterms:created>
  <dc:creator>Administrator</dc:creator>
  <cp:lastModifiedBy>Administrator</cp:lastModifiedBy>
  <dcterms:modified xsi:type="dcterms:W3CDTF">2025-08-04T01:52:30Z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