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9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outlineLvl w:val="0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节水型企业自评表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管理指标评分标准</w:t>
      </w:r>
    </w:p>
    <w:tbl>
      <w:tblPr>
        <w:tblStyle w:val="4"/>
        <w:tblW w:w="926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679"/>
        <w:gridCol w:w="4410"/>
        <w:gridCol w:w="9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tblHeader/>
        </w:trPr>
        <w:tc>
          <w:tcPr>
            <w:tcW w:w="1203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评价指标</w:t>
            </w:r>
          </w:p>
        </w:tc>
        <w:tc>
          <w:tcPr>
            <w:tcW w:w="2679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评价内容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评分细则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赋分值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管理机构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应成立节水机构或部门，明确节水主管领导并有专（兼）职节水管理人员，建立节水管理岗位责任制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1.成立节水机构或部门，并建立节水管理岗位责任制得2分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2.明确节水主管领导并有专（兼）职节水管理人员得2分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管理制度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应制定用水计量、用水统计、运行维护和节水检查与考核等相关节水制度，编制用水建议计划，并落实下达的年度用水计划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1.建立用水设备管理、用水计量、统计管理、巡回检查、维修等节水管理制度，建立一项得1分，最高得5分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2.制定节水目标责任制和考核制度得1分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3.编制用水建议计划得1分；不超过下达的用水计划得1分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运行管理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应规范用水设施（设备）运行与维修维护管理，按规定开展水平衡测试或用水合理性分析，持续开展节水改造并使用节水新技术、新工艺、新设备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1.用水设施（设备）运行良好得2分；定期巡查和维修用水设施设备且记录完整得2分，否则一处扣0.5分，扣完为止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2.近5年内利用水平衡测试等方式进行节水诊断得3分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3.近5年内对用水系统、主要用水环节进行节水技术改造，采用节水技术、工艺、产品和设备，每采用一项得2分，最高得6分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计量管理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水计量器具应运行正常、定期检定或比测，应有详细的供水管网图、排水管网图、用水计量网络图，原始水计量记录和统计台账等应详细、完整、清楚、准确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1.水计量器具运行良好得2分；定期检定或比测得2分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2.用水原始记录和统计台账记录完整得2分，否则一处扣0.5分，直至扣完；落实台账管理人员得1分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3.有完整的供水管网图、排水管网图和用水计量网络图，得3分，缺一项扣1分，扣完为止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4.有年度用水统计报表，且用水统计数据完整规范得2分；按期向有关部门报送年度用水统计报表得1分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5.建立用水实时监控系统/平台，或能耗监控平台涵盖了用水系统得2分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节水宣传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应每年组织或参加节水宣传、教育、培训或节水相关活动，规范张贴节水标识（标志）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1.编制节水宣传材料，普及宣传节水相关知识、政策要求与经验做法得1分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2.积极开展以节水为主题的宣传与培训活动，每次活动得1分，最高得3分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3.主要用水场所、用水器具显著位置张贴节水标语标识得2分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节水考核</w:t>
            </w:r>
          </w:p>
        </w:tc>
        <w:tc>
          <w:tcPr>
            <w:tcW w:w="26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应定期开展节水检查和考核,实行节奖超罚</w:t>
            </w: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1.每年至少开展节水考核一次得2分，否则不得分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26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2.落实节奖超罚制度得2分</w:t>
            </w: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技术评价指标评分标准</w:t>
      </w:r>
    </w:p>
    <w:tbl>
      <w:tblPr>
        <w:tblStyle w:val="4"/>
        <w:tblW w:w="911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779"/>
        <w:gridCol w:w="5168"/>
        <w:gridCol w:w="10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评价指标</w:t>
            </w:r>
          </w:p>
        </w:tc>
        <w:tc>
          <w:tcPr>
            <w:tcW w:w="177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评价内容</w:t>
            </w:r>
          </w:p>
        </w:tc>
        <w:tc>
          <w:tcPr>
            <w:tcW w:w="5168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评分细则</w:t>
            </w:r>
          </w:p>
        </w:tc>
        <w:tc>
          <w:tcPr>
            <w:tcW w:w="100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24"/>
                <w:szCs w:val="24"/>
              </w:rPr>
              <w:t>赋分值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单位用水量</w:t>
            </w:r>
          </w:p>
        </w:tc>
        <w:tc>
          <w:tcPr>
            <w:tcW w:w="177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单位产品用水量</w:t>
            </w:r>
          </w:p>
        </w:tc>
        <w:tc>
          <w:tcPr>
            <w:tcW w:w="5168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火力发电、氯碱、氮肥、造纸、现代煤化工、石油炼制、乙烯、船舶、纺织染整、化纤长丝织造、建材、铁矿采选、钢铁、电解铝、氧化铝、多晶硅、炼焦、啤酒、发酵行业符合附件5用水要求得15分，其他行业或产品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符合DB41/T385的先进值得15分，否则不得分</w:t>
            </w:r>
          </w:p>
        </w:tc>
        <w:tc>
          <w:tcPr>
            <w:tcW w:w="1008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分级计量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次级用水单位用水计量率和主要用水设备用水计量率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次级用水单位用水计量率≥95%，同时主要用水设备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vertAlign w:val="superscript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用水计量率≥85%，得7分。次级用水单位用水计量率每降低1%，扣0.5分；主要用水设备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vertAlign w:val="superscript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用水计量率每降低5%，扣0.5分，扣完为止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restart"/>
            <w:tcBorders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重复利用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1.用水重复利用率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乙烯、氧化铝、炼焦及多晶硅行业≥98%，石油炼制行业≥97.5%，钢铁和现代煤化工行业≥97%，电解铝和氯碱行业≥96%，氮肥和火力发电行业≥95%，铁矿采选行业≥90%，化纤长丝织造业≥70%，纺织染整行业≥45%，得6分。造纸行业中纸浆≥75%，纸及纸板≥88%，浆纸联合企业≥90%，得6分。食品行业中发酵行业≥92%，啤酒行业≥70%，其他食品行业≥60%，得6分。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船舶行业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≥60%，得6分。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建材行业中水泥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%，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混凝土外加剂和石材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建筑防水材料和平板玻璃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%，得6分。其他行业应符合国家、行业相关规范，每低一个百分点扣0.5分，扣完为止b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2.直接冷却水循环利用率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钢铁行业≥95%，化纤长丝织造行业≥70%，得2分；每低一个百分点扣0.5分，扣完为止b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3.间接冷却水循环利用率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炼焦、氯碱和现代煤化工行业≥98%，氮肥行业≥97%，纺织染整、啤酒和发酵行业≥95%，得2分。其他行业应符合国家相关规范，每低一个百分点扣0.5分，扣完为止b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4.循环水浓缩倍数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石油炼制行业≥4.0，乙烯行业≥5.0，得1分，否则不得分b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5.蒸汽冷凝水回收（用）率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纺织染整行业≥98%，化纤长丝织造行业≥85%，石油炼制行业≥60%，乙烯行业≥80%，得2分。其他行业应符合国家相关规范，否则不得分b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6.废水回用率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氧化铝行业≥98%，火力发电行业≥85%，化纤长丝织造行业≥80%，钢铁和炼焦行业≥75%，石油炼制行业≥50%，纺织染整行业≥20%，得2分。其他行业应符合国家相关规范，否则不得分b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漏损控制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用水综合漏失率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电解铝行业≤6%，石油炼制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铁矿采选</w:t>
            </w:r>
            <w:r>
              <w:rPr>
                <w:rFonts w:hint="eastAsia" w:ascii="Times New Roman" w:hAnsi="Times New Roman" w:eastAsia="仿宋_GB2312" w:cs="Times New Roman"/>
                <w:spacing w:val="0"/>
                <w:position w:val="0"/>
                <w:sz w:val="24"/>
                <w:szCs w:val="24"/>
                <w:lang w:val="en-US" w:eastAsia="zh-CN"/>
              </w:rPr>
              <w:t>和建材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行业≤5%，钢铁和纺织染整行业≤4%，发酵、炼焦和化纤长丝织造行业≤3%，多晶硅行业≤2.54%，现代煤化工和氮肥行业≤2%，氯碱行业≤1.5%，氧化铝行业≤1%，得2分。其他行业应符合国家相关规范，每高一个百分点扣0.5分，扣完为止b</w:t>
            </w:r>
          </w:p>
        </w:tc>
        <w:tc>
          <w:tcPr>
            <w:tcW w:w="100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restart"/>
            <w:tcBorders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非常规水利用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1.非常规水利用（不含再生水与矿坑排水）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1.建设雨水集蓄利用设施得1分，厂区道路卫生清扫采用非常规水得1分，绿植灌溉采用非常规水得1分，否则不得分</w:t>
            </w:r>
          </w:p>
        </w:tc>
        <w:tc>
          <w:tcPr>
            <w:tcW w:w="1008" w:type="dxa"/>
            <w:vMerge w:val="restart"/>
            <w:tcBorders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  <w:bottom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2.废水处理回用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2.建设废水处理回用系统得3分，否则不得分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3.再生水（或矿坑排水）利用</w:t>
            </w:r>
          </w:p>
        </w:tc>
        <w:tc>
          <w:tcPr>
            <w:tcW w:w="5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3.具备条件且工业生产使用城市再生水（或矿坑排水）得3分，具备条件未利用得0分，不具备条件按空项处理b</w:t>
            </w:r>
          </w:p>
        </w:tc>
        <w:tc>
          <w:tcPr>
            <w:tcW w:w="1008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59" w:type="dxa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节水器具利用</w:t>
            </w:r>
          </w:p>
        </w:tc>
        <w:tc>
          <w:tcPr>
            <w:tcW w:w="1779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生活节水器具普及率</w:t>
            </w:r>
          </w:p>
        </w:tc>
        <w:tc>
          <w:tcPr>
            <w:tcW w:w="516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生活节水器具普及率达到100%得2分，每低一个百分点扣0.2分，扣完为止</w:t>
            </w:r>
          </w:p>
        </w:tc>
        <w:tc>
          <w:tcPr>
            <w:tcW w:w="100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a指用水量不低于1m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0"/>
                <w:position w:val="0"/>
                <w:sz w:val="24"/>
                <w:szCs w:val="24"/>
              </w:rPr>
              <w:t>/h的单台设备或单套用水系统。b此项评分可为空项。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B1FE3"/>
    <w:rsid w:val="0DB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2025-08-04T01:52:00Z</dcterms:created>
  <dc:creator>Administrator</dc:creator>
  <cp:lastModifiedBy>Administrator</cp:lastModifiedBy>
  <dcterms:modified xsi:type="dcterms:W3CDTF">2025-08-04T01:52:59Z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