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88"/>
        </w:tabs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tabs>
          <w:tab w:val="left" w:pos="360"/>
          <w:tab w:val="left" w:pos="7920"/>
          <w:tab w:val="left" w:pos="8100"/>
        </w:tabs>
        <w:jc w:val="center"/>
        <w:rPr>
          <w:rFonts w:hint="eastAsia" w:ascii="宋体" w:hAnsi="宋体"/>
          <w:sz w:val="44"/>
          <w:szCs w:val="44"/>
        </w:rPr>
      </w:pPr>
    </w:p>
    <w:p>
      <w:pPr>
        <w:pStyle w:val="7"/>
        <w:ind w:left="0" w:leftChars="0" w:firstLine="0" w:firstLineChars="0"/>
        <w:rPr>
          <w:rFonts w:hint="eastAsia"/>
          <w:sz w:val="44"/>
          <w:szCs w:val="44"/>
        </w:rPr>
      </w:pPr>
    </w:p>
    <w:p>
      <w:pPr>
        <w:tabs>
          <w:tab w:val="left" w:pos="284"/>
          <w:tab w:val="left" w:pos="7920"/>
          <w:tab w:val="left" w:pos="8100"/>
        </w:tabs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许工信〔202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仿宋_GB2312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宋体" w:hAnsi="宋体" w:eastAsia="宋体" w:cs="Times New Roman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</w:rPr>
        <w:t>许昌市工业和信息化局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宋体" w:hAnsi="宋体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</w:rPr>
        <w:t>关于</w:t>
      </w:r>
      <w:r>
        <w:rPr>
          <w:rFonts w:hint="eastAsia" w:ascii="宋体" w:hAnsi="宋体" w:cs="Times New Roman"/>
          <w:b/>
          <w:bCs/>
          <w:color w:val="auto"/>
          <w:sz w:val="44"/>
          <w:szCs w:val="44"/>
          <w:lang w:eastAsia="zh-CN"/>
        </w:rPr>
        <w:t>征集制造业数字化转型和绿色低碳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/>
        <w:jc w:val="center"/>
        <w:textAlignment w:val="auto"/>
        <w:rPr>
          <w:rFonts w:hint="eastAsia" w:ascii="宋体" w:hAnsi="宋体" w:eastAsia="宋体" w:cs="Times New Roman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宋体" w:hAnsi="宋体" w:cs="Times New Roman"/>
          <w:b/>
          <w:bCs/>
          <w:color w:val="auto"/>
          <w:sz w:val="44"/>
          <w:szCs w:val="44"/>
          <w:lang w:eastAsia="zh-CN"/>
        </w:rPr>
        <w:t>发展领域专家</w:t>
      </w:r>
      <w:r>
        <w:rPr>
          <w:rFonts w:hint="eastAsia" w:ascii="宋体" w:hAnsi="宋体" w:eastAsia="宋体" w:cs="Times New Roman"/>
          <w:b/>
          <w:bCs/>
          <w:color w:val="auto"/>
          <w:sz w:val="44"/>
          <w:szCs w:val="44"/>
        </w:rPr>
        <w:t>的</w:t>
      </w:r>
      <w:r>
        <w:rPr>
          <w:rFonts w:hint="eastAsia" w:ascii="宋体" w:hAnsi="宋体" w:cs="Times New Roman"/>
          <w:b/>
          <w:bCs/>
          <w:color w:val="auto"/>
          <w:sz w:val="44"/>
          <w:szCs w:val="44"/>
          <w:lang w:eastAsia="zh-CN"/>
        </w:rPr>
        <w:t>通知</w:t>
      </w:r>
    </w:p>
    <w:p>
      <w:pPr>
        <w:widowControl/>
        <w:spacing w:line="600" w:lineRule="exact"/>
        <w:rPr>
          <w:rFonts w:hint="eastAsia"/>
          <w:kern w:val="0"/>
          <w:sz w:val="32"/>
          <w:szCs w:val="32"/>
        </w:rPr>
      </w:pPr>
      <w:r>
        <w:rPr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rPr>
          <w:color w:val="auto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各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eastAsia="zh-CN"/>
        </w:rPr>
        <w:t>有关单位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default" w:ascii="仿宋_GB2312" w:hAnsi="仿宋" w:eastAsia="仿宋_GB2312" w:cs="Times New Roman"/>
          <w:sz w:val="32"/>
          <w:szCs w:val="32"/>
        </w:rPr>
        <w:t>为深入落实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省委办公厅、省政府办公厅</w:t>
      </w:r>
      <w:r>
        <w:rPr>
          <w:rFonts w:hint="default" w:ascii="仿宋_GB2312" w:hAnsi="仿宋" w:eastAsia="仿宋_GB2312" w:cs="Times New Roman"/>
          <w:sz w:val="32"/>
          <w:szCs w:val="32"/>
          <w:lang w:eastAsia="zh-CN"/>
        </w:rPr>
        <w:t>《实施数字化转型战略工作方案》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豫办〔2021〕41号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）和省政府办公厅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</w:rPr>
        <w:t>河南省制造业绿色低碳高质量发展三年行动计划（2023—2025年）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豫政办〔2023〕6号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/>
        </w:rPr>
        <w:t>文件精神</w:t>
      </w:r>
      <w:r>
        <w:rPr>
          <w:rFonts w:hint="default" w:ascii="仿宋_GB2312" w:hAnsi="仿宋" w:eastAsia="仿宋_GB2312" w:cs="Times New Roman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持续推进我市制造业</w:t>
      </w:r>
      <w:r>
        <w:rPr>
          <w:rFonts w:hint="default" w:ascii="仿宋_GB2312" w:hAnsi="仿宋" w:eastAsia="仿宋_GB2312" w:cs="Times New Roman"/>
          <w:sz w:val="32"/>
          <w:szCs w:val="32"/>
          <w:lang w:eastAsia="zh-CN"/>
        </w:rPr>
        <w:t>数字化转型战略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和绿色低碳高质量发展</w:t>
      </w:r>
      <w:r>
        <w:rPr>
          <w:rFonts w:hint="eastAsia" w:ascii="仿宋_GB2312" w:hAnsi="仿宋" w:eastAsia="仿宋_GB2312" w:cs="Times New Roman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市工业和信息化局</w:t>
      </w:r>
      <w:r>
        <w:rPr>
          <w:rFonts w:hint="eastAsia" w:ascii="仿宋_GB2312" w:hAnsi="仿宋" w:eastAsia="仿宋_GB2312" w:cs="Times New Roman"/>
          <w:sz w:val="32"/>
          <w:szCs w:val="32"/>
        </w:rPr>
        <w:t>拟建立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许昌市数字化转型</w:t>
      </w:r>
      <w:r>
        <w:rPr>
          <w:rFonts w:hint="eastAsia" w:ascii="仿宋_GB2312" w:hAnsi="仿宋" w:eastAsia="仿宋_GB2312" w:cs="Times New Roman"/>
          <w:sz w:val="32"/>
          <w:szCs w:val="32"/>
        </w:rPr>
        <w:t>领域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和绿色低碳发展领域</w:t>
      </w:r>
      <w:r>
        <w:rPr>
          <w:rFonts w:hint="eastAsia" w:ascii="仿宋_GB2312" w:hAnsi="仿宋" w:eastAsia="仿宋_GB2312" w:cs="Times New Roman"/>
          <w:sz w:val="32"/>
          <w:szCs w:val="32"/>
        </w:rPr>
        <w:t>专家库，现面向全市征集数字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化转型和绿色低碳发展</w:t>
      </w:r>
      <w:r>
        <w:rPr>
          <w:rFonts w:hint="eastAsia" w:ascii="仿宋_GB2312" w:hAnsi="仿宋" w:eastAsia="仿宋_GB2312" w:cs="Times New Roman"/>
          <w:sz w:val="32"/>
          <w:szCs w:val="32"/>
        </w:rPr>
        <w:t>领域专家，现将有关事项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通知</w:t>
      </w:r>
      <w:r>
        <w:rPr>
          <w:rFonts w:hint="eastAsia" w:ascii="仿宋_GB2312" w:hAnsi="仿宋" w:eastAsia="仿宋_GB2312" w:cs="Times New Roman"/>
          <w:sz w:val="32"/>
          <w:szCs w:val="32"/>
        </w:rPr>
        <w:t>如下：</w:t>
      </w:r>
    </w:p>
    <w:p>
      <w:pPr>
        <w:widowControl/>
        <w:spacing w:line="600" w:lineRule="exact"/>
        <w:ind w:firstLine="640"/>
        <w:rPr>
          <w:rFonts w:hint="eastAsia" w:ascii="黑体" w:hAnsi="黑体" w:eastAsia="黑体" w:cs="Calibri"/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一、推荐专家基本条件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" w:eastAsia="仿宋_GB2312"/>
          <w:sz w:val="32"/>
          <w:szCs w:val="32"/>
        </w:rPr>
        <w:t>坚决拥护中国共产党的领导，政治立场坚定，坚持正确政治方向，坚决执行党的路线方针政策。</w:t>
      </w:r>
    </w:p>
    <w:p>
      <w:pPr>
        <w:widowControl/>
        <w:spacing w:line="600" w:lineRule="exact"/>
        <w:ind w:firstLine="64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原则上应具有大学本科以上学历且为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副高级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（含）以上专业技术职称（相关领域有突出专业特长的优秀专家可适当放宽条件）。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" w:eastAsia="仿宋_GB2312"/>
          <w:sz w:val="32"/>
          <w:szCs w:val="32"/>
        </w:rPr>
        <w:t>遵纪守法，无违法违纪行为和不良信用记录。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身体健康，能正常承担</w:t>
      </w:r>
      <w:r>
        <w:rPr>
          <w:rFonts w:hint="eastAsia" w:ascii="仿宋_GB2312" w:hAnsi="仿宋" w:eastAsia="仿宋_GB2312"/>
          <w:sz w:val="32"/>
          <w:szCs w:val="32"/>
        </w:rPr>
        <w:t>且能够胜任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许昌市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数字化转型和绿色低碳发展</w:t>
      </w:r>
      <w:r>
        <w:rPr>
          <w:rFonts w:hint="eastAsia" w:ascii="仿宋_GB2312" w:hAnsi="仿宋" w:eastAsia="仿宋_GB2312"/>
          <w:sz w:val="32"/>
          <w:szCs w:val="32"/>
        </w:rPr>
        <w:t>相关工作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,年龄原则上不超过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周岁。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jc w:val="left"/>
        <w:textAlignment w:val="auto"/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" w:eastAsia="仿宋_GB2312"/>
          <w:sz w:val="32"/>
          <w:szCs w:val="32"/>
        </w:rPr>
        <w:t>熟悉数字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化转型</w:t>
      </w:r>
      <w:r>
        <w:rPr>
          <w:rFonts w:hint="eastAsia" w:ascii="仿宋_GB2312" w:hAnsi="仿宋" w:eastAsia="仿宋_GB2312"/>
          <w:sz w:val="32"/>
          <w:szCs w:val="32"/>
        </w:rPr>
        <w:t>领域政策法规、基础理论，熟悉数字化转型相关</w:t>
      </w:r>
      <w:r>
        <w:rPr>
          <w:rFonts w:hint="eastAsia" w:ascii="仿宋_GB2312" w:hAnsi="仿宋" w:eastAsia="仿宋_GB2312" w:cs="Times New Roman"/>
          <w:sz w:val="32"/>
          <w:szCs w:val="32"/>
        </w:rPr>
        <w:t>工作，在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云计算、大数据、人工智能、物联网、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5G通信、区块链等相关领域</w:t>
      </w:r>
      <w:r>
        <w:rPr>
          <w:rFonts w:hint="eastAsia" w:ascii="仿宋_GB2312" w:hAnsi="仿宋" w:eastAsia="仿宋_GB2312" w:cs="Times New Roman"/>
          <w:sz w:val="32"/>
          <w:szCs w:val="32"/>
        </w:rPr>
        <w:t>具有较高的理论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水平</w:t>
      </w:r>
      <w:r>
        <w:rPr>
          <w:rFonts w:hint="eastAsia" w:ascii="仿宋_GB2312" w:hAnsi="仿宋" w:eastAsia="仿宋_GB2312" w:cs="Times New Roman"/>
          <w:sz w:val="32"/>
          <w:szCs w:val="32"/>
        </w:rPr>
        <w:t>和丰富的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实践经验，具有较高的社会知名度和公信力；熟悉绿色低碳领域相关法律法规和政策、相关行业生产工艺技术和规范等;具有较丰富的项目评审评价、技术咨询等工作经验。</w:t>
      </w:r>
    </w:p>
    <w:p>
      <w:pPr>
        <w:widowControl/>
        <w:spacing w:line="600" w:lineRule="exact"/>
        <w:ind w:firstLine="640"/>
        <w:rPr>
          <w:kern w:val="0"/>
          <w:sz w:val="32"/>
          <w:szCs w:val="32"/>
        </w:rPr>
      </w:pPr>
      <w:r>
        <w:rPr>
          <w:rFonts w:hint="eastAsia" w:ascii="黑体" w:hAnsi="黑体" w:eastAsia="黑体" w:cs="Calibri"/>
          <w:kern w:val="0"/>
          <w:sz w:val="32"/>
          <w:szCs w:val="32"/>
        </w:rPr>
        <w:t>二、专家库的形成</w:t>
      </w:r>
    </w:p>
    <w:p>
      <w:pPr>
        <w:widowControl/>
        <w:spacing w:line="600" w:lineRule="exact"/>
        <w:ind w:firstLine="640"/>
        <w:rPr>
          <w:rFonts w:hint="eastAsia" w:ascii="仿宋_GB2312" w:hAnsi="Calibri" w:eastAsia="仿宋_GB2312" w:cs="Calibri"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对照专家应具备的基本条件，由个人自愿申请，经所在单位审核确认并推荐，最终由市工信局复核遴选确认，并在一定范围公布。专家库实行动态管理，根据实际工作需要适时调整。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（一）围绕许昌市数字化转型和绿色低碳高质量发展建设顶层设计、发展规划、年度重点工作以及数字化转型工作中的重大问题进行深入研究，提出意见建议。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（二）承担许昌市数字化转型和绿色低碳发展相关业务的技术审核工作，参与相关项目论证、评审，提交相关技术审核意见。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参与数字化转型和绿色制造政策宣传和培训;为我市数字化转型和绿色低碳发展法规、政策等制定提供咨询服务等工作。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textAlignment w:val="auto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t>请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贵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单位根据实际情况，积极组织推荐入库专家（数量不限），由本人填写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《许昌市数字化转型和绿色低碳发展领域专家申请表》，</w:t>
      </w:r>
      <w:r>
        <w:rPr>
          <w:rFonts w:hint="eastAsia" w:ascii="仿宋_GB2312" w:hAnsi="Calibri" w:eastAsia="仿宋_GB2312" w:cs="Calibri"/>
          <w:kern w:val="0"/>
          <w:sz w:val="32"/>
          <w:szCs w:val="32"/>
        </w:rPr>
        <w:t>推荐单位加盖公章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，并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将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Calibri"/>
          <w:kern w:val="0"/>
          <w:sz w:val="32"/>
          <w:szCs w:val="32"/>
          <w:lang w:val="en-US" w:eastAsia="zh-CN"/>
        </w:rPr>
        <w:t>1、附件2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加盖公章扫描件（PDF格式）和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Word版电子文档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2023年5月19日前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发送至许昌市工业和信息化局人事教育科邮箱。</w:t>
      </w:r>
    </w:p>
    <w:p>
      <w:pPr>
        <w:widowControl/>
        <w:spacing w:line="600" w:lineRule="exact"/>
        <w:ind w:firstLine="640"/>
        <w:rPr>
          <w:rFonts w:hint="default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联系电话：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0374-2965063</w:t>
      </w:r>
    </w:p>
    <w:p>
      <w:pPr>
        <w:widowControl/>
        <w:spacing w:line="600" w:lineRule="exact"/>
        <w:ind w:firstLine="640"/>
        <w:rPr>
          <w:rFonts w:hint="default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</w:rPr>
        <w:t>电子邮箱：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gxjrsk</w:t>
      </w:r>
      <w:r>
        <w:rPr>
          <w:rFonts w:hint="default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2965063</w:t>
      </w:r>
      <w:r>
        <w:rPr>
          <w:rFonts w:hint="eastAsia" w:ascii="仿宋_GB2312" w:hAnsi="Calibri" w:eastAsia="仿宋_GB2312" w:cs="Calibri"/>
          <w:color w:val="auto"/>
          <w:kern w:val="0"/>
          <w:sz w:val="32"/>
          <w:szCs w:val="32"/>
          <w:lang w:val="en-US" w:eastAsia="zh-CN"/>
        </w:rPr>
        <w:t>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right="0"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许昌市数字化转型和绿色低碳发展领域专家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申请表</w:t>
      </w:r>
    </w:p>
    <w:p>
      <w:pPr>
        <w:widowControl/>
        <w:ind w:left="1920" w:hanging="1920" w:hangingChars="6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2、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许昌市数字化转型和绿色低碳发展领域专家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汇总表</w:t>
      </w:r>
    </w:p>
    <w:p>
      <w:pPr>
        <w:pStyle w:val="7"/>
        <w:ind w:firstLine="1600" w:firstLineChars="500"/>
        <w:rPr>
          <w:rFonts w:hint="default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firstLine="640" w:firstLineChars="2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widowControl/>
        <w:spacing w:line="600" w:lineRule="exact"/>
        <w:rPr>
          <w:rFonts w:hint="eastAsia" w:eastAsia="黑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Calibri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Calibri"/>
          <w:kern w:val="0"/>
          <w:sz w:val="32"/>
          <w:szCs w:val="32"/>
        </w:rPr>
        <w:t>附件</w:t>
      </w:r>
      <w:r>
        <w:rPr>
          <w:rFonts w:hint="eastAsia" w:ascii="黑体" w:hAnsi="黑体" w:eastAsia="黑体" w:cs="Calibri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许昌市数字化转型和绿色低碳发展领域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专家申请表</w:t>
      </w:r>
    </w:p>
    <w:tbl>
      <w:tblPr>
        <w:tblStyle w:val="9"/>
        <w:tblW w:w="0" w:type="auto"/>
        <w:tblInd w:w="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310"/>
        <w:gridCol w:w="1350"/>
        <w:gridCol w:w="241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755" w:type="dxa"/>
            <w:vMerge w:val="restart"/>
            <w:noWrap w:val="0"/>
            <w:vAlign w:val="top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照片</w:t>
            </w:r>
          </w:p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1寸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出生年月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政治面貌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毕业院校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专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业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工作单位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职务</w:t>
            </w:r>
            <w:r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职称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申报领域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pStyle w:val="7"/>
              <w:jc w:val="center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联系电话</w:t>
            </w:r>
          </w:p>
        </w:tc>
        <w:tc>
          <w:tcPr>
            <w:tcW w:w="2415" w:type="dxa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  <w:tc>
          <w:tcPr>
            <w:tcW w:w="1755" w:type="dxa"/>
            <w:vMerge w:val="continue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830" w:type="dxa"/>
            <w:gridSpan w:val="4"/>
            <w:noWrap w:val="0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主要工作经历</w:t>
            </w:r>
          </w:p>
        </w:tc>
        <w:tc>
          <w:tcPr>
            <w:tcW w:w="7830" w:type="dxa"/>
            <w:gridSpan w:val="4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（可另加附情况说明）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相关成果或代表性业绩</w:t>
            </w:r>
          </w:p>
        </w:tc>
        <w:tc>
          <w:tcPr>
            <w:tcW w:w="7830" w:type="dxa"/>
            <w:gridSpan w:val="4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（可另加附情况说明）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个人意见</w:t>
            </w:r>
          </w:p>
        </w:tc>
        <w:tc>
          <w:tcPr>
            <w:tcW w:w="7830" w:type="dxa"/>
            <w:gridSpan w:val="4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spacing w:line="240" w:lineRule="auto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   签名：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215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单位申报</w:t>
            </w:r>
          </w:p>
          <w:p>
            <w:pPr>
              <w:pStyle w:val="7"/>
              <w:jc w:val="both"/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eastAsia="zh-CN"/>
              </w:rPr>
              <w:t>意见</w:t>
            </w:r>
          </w:p>
        </w:tc>
        <w:tc>
          <w:tcPr>
            <w:tcW w:w="7830" w:type="dxa"/>
            <w:gridSpan w:val="4"/>
            <w:noWrap w:val="0"/>
            <w:vAlign w:val="top"/>
          </w:tcPr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ind w:left="0" w:leftChars="0" w:firstLine="0" w:firstLineChars="0"/>
              <w:rPr>
                <w:rFonts w:hint="eastAsia" w:ascii="仿宋_GB2312" w:hAnsi="仿宋_GB2312" w:eastAsia="仿宋_GB2312" w:cs="仿宋_GB2312"/>
                <w:vertAlign w:val="baseline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  <w:t xml:space="preserve">                  签章：           日期：</w:t>
            </w:r>
          </w:p>
        </w:tc>
      </w:tr>
    </w:tbl>
    <w:p>
      <w:pPr>
        <w:pStyle w:val="7"/>
        <w:ind w:left="0" w:leftChars="0" w:firstLine="0" w:firstLineChars="0"/>
        <w:rPr>
          <w:rFonts w:hint="eastAsia" w:ascii="仿宋_GB2312" w:hAnsi="仿宋_GB2312" w:eastAsia="仿宋_GB2312" w:cs="仿宋_GB2312"/>
          <w:lang w:eastAsia="zh-CN"/>
        </w:rPr>
      </w:pPr>
    </w:p>
    <w:p>
      <w:pPr>
        <w:pStyle w:val="7"/>
        <w:ind w:left="0" w:leftChars="0" w:firstLine="0" w:firstLineChars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lang w:eastAsia="zh-CN"/>
        </w:rPr>
        <w:t>备注：附学历、职称、获奖证书等证明材料复印件一份，并提交电子文档。</w:t>
      </w:r>
    </w:p>
    <w:p>
      <w:pPr>
        <w:widowControl/>
        <w:rPr>
          <w:rFonts w:ascii="黑体" w:hAnsi="黑体" w:eastAsia="黑体" w:cs="宋体"/>
          <w:kern w:val="0"/>
          <w:sz w:val="32"/>
          <w:szCs w:val="32"/>
        </w:rPr>
        <w:sectPr>
          <w:footerReference r:id="rId3" w:type="default"/>
          <w:pgSz w:w="11907" w:h="16840"/>
          <w:pgMar w:top="1440" w:right="1418" w:bottom="1440" w:left="1418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许昌市数字化转型和绿色低碳发展领域专家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汇总表</w:t>
      </w:r>
    </w:p>
    <w:p>
      <w:pPr>
        <w:pStyle w:val="7"/>
        <w:rPr>
          <w:rFonts w:hint="eastAsia"/>
        </w:rPr>
      </w:pPr>
    </w:p>
    <w:p>
      <w:pPr>
        <w:widowControl/>
        <w:rPr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单位（盖章）：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 xml:space="preserve"> </w:t>
      </w:r>
      <w:r>
        <w:rPr>
          <w:kern w:val="0"/>
          <w:sz w:val="32"/>
          <w:szCs w:val="32"/>
        </w:rPr>
        <w:t xml:space="preserve">                                                 </w:t>
      </w:r>
      <w:r>
        <w:rPr>
          <w:kern w:val="0"/>
          <w:sz w:val="28"/>
          <w:szCs w:val="28"/>
        </w:rPr>
        <w:t xml:space="preserve">  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年</w:t>
      </w:r>
      <w:r>
        <w:rPr>
          <w:kern w:val="0"/>
          <w:sz w:val="28"/>
          <w:szCs w:val="28"/>
        </w:rPr>
        <w:t xml:space="preserve">   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月</w:t>
      </w:r>
      <w:r>
        <w:rPr>
          <w:kern w:val="0"/>
          <w:sz w:val="28"/>
          <w:szCs w:val="28"/>
        </w:rPr>
        <w:t xml:space="preserve">   </w:t>
      </w:r>
      <w:r>
        <w:rPr>
          <w:rFonts w:hint="eastAsia" w:ascii="仿宋_GB2312" w:hAnsi="Calibri" w:eastAsia="仿宋_GB2312" w:cs="Calibri"/>
          <w:kern w:val="0"/>
          <w:sz w:val="28"/>
          <w:szCs w:val="28"/>
        </w:rPr>
        <w:t>日</w:t>
      </w:r>
      <w:r>
        <w:rPr>
          <w:kern w:val="0"/>
          <w:sz w:val="28"/>
          <w:szCs w:val="28"/>
        </w:rPr>
        <w:t xml:space="preserve">   </w:t>
      </w:r>
    </w:p>
    <w:tbl>
      <w:tblPr>
        <w:tblStyle w:val="8"/>
        <w:tblW w:w="141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35"/>
        <w:gridCol w:w="905"/>
        <w:gridCol w:w="1795"/>
        <w:gridCol w:w="1440"/>
        <w:gridCol w:w="1440"/>
        <w:gridCol w:w="1980"/>
        <w:gridCol w:w="2160"/>
        <w:gridCol w:w="2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专业领域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  <w:sectPr>
          <w:pgSz w:w="16840" w:h="11907" w:orient="landscape"/>
          <w:pgMar w:top="1418" w:right="1440" w:bottom="1418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537835" cy="5080"/>
                <wp:effectExtent l="0" t="0" r="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7835" cy="508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.3pt;height:0.4pt;width:436.05pt;z-index:251661312;mso-width-relative:page;mso-height-relative:page;" filled="f" stroked="t" coordsize="21600,21600" o:gfxdata="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许昌市工业和信息化局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日印发</w:t>
      </w:r>
    </w:p>
    <w:p>
      <w:pPr>
        <w:rPr>
          <w:rFonts w:hint="eastAsia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43815</wp:posOffset>
                </wp:positionV>
                <wp:extent cx="5520055" cy="20320"/>
                <wp:effectExtent l="0" t="9525" r="4445" b="273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055" cy="2032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0.65pt;margin-top:3.45pt;height:1.6pt;width:434.65pt;z-index:251660288;mso-width-relative:page;mso-height-relative:page;" filled="f" stroked="t" coordsize="21600,21600" o:gfxdata="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7" w:h="16840"/>
      <w:pgMar w:top="1440" w:right="1418" w:bottom="1440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</w:rPr>
                          </w:pPr>
                          <w:r>
                            <w:rPr>
                              <w:rStyle w:val="11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>5</w:t>
                          </w:r>
                          <w:r>
                            <w:rPr>
                              <w:rStyle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</w:rPr>
                    </w:pPr>
                    <w:r>
                      <w:rPr>
                        <w:rStyle w:val="11"/>
                      </w:rP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rPr>
                        <w:rStyle w:val="11"/>
                      </w:rPr>
                      <w:fldChar w:fldCharType="separate"/>
                    </w:r>
                    <w:r>
                      <w:rPr>
                        <w:rStyle w:val="11"/>
                      </w:rPr>
                      <w:t>5</w:t>
                    </w:r>
                    <w:r>
                      <w:rPr>
                        <w:rStyle w:val="1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GYyNjk1ZDZiM2NiYzMxODBjODY3OTFhYTg0NzAifQ=="/>
  </w:docVars>
  <w:rsids>
    <w:rsidRoot w:val="003E2F80"/>
    <w:rsid w:val="00007724"/>
    <w:rsid w:val="000260BE"/>
    <w:rsid w:val="00067F8E"/>
    <w:rsid w:val="001823FA"/>
    <w:rsid w:val="001B33E2"/>
    <w:rsid w:val="001E02DD"/>
    <w:rsid w:val="002247EB"/>
    <w:rsid w:val="00276418"/>
    <w:rsid w:val="002846EA"/>
    <w:rsid w:val="002E0B86"/>
    <w:rsid w:val="00382E29"/>
    <w:rsid w:val="003A17C6"/>
    <w:rsid w:val="003B445D"/>
    <w:rsid w:val="003B7EF7"/>
    <w:rsid w:val="003E2F80"/>
    <w:rsid w:val="00403991"/>
    <w:rsid w:val="00420715"/>
    <w:rsid w:val="004244EC"/>
    <w:rsid w:val="00441AD5"/>
    <w:rsid w:val="00465D45"/>
    <w:rsid w:val="00484D45"/>
    <w:rsid w:val="004B44C9"/>
    <w:rsid w:val="004B4D73"/>
    <w:rsid w:val="004B649F"/>
    <w:rsid w:val="005006AE"/>
    <w:rsid w:val="00521B65"/>
    <w:rsid w:val="005250B3"/>
    <w:rsid w:val="00555A13"/>
    <w:rsid w:val="005F2B03"/>
    <w:rsid w:val="006471C8"/>
    <w:rsid w:val="00653EED"/>
    <w:rsid w:val="00657E39"/>
    <w:rsid w:val="006D0806"/>
    <w:rsid w:val="00715E7B"/>
    <w:rsid w:val="007639E5"/>
    <w:rsid w:val="00810E34"/>
    <w:rsid w:val="0081581A"/>
    <w:rsid w:val="00833B36"/>
    <w:rsid w:val="00877C1A"/>
    <w:rsid w:val="008800A9"/>
    <w:rsid w:val="008A575D"/>
    <w:rsid w:val="008A6235"/>
    <w:rsid w:val="008C0898"/>
    <w:rsid w:val="008F6817"/>
    <w:rsid w:val="00974289"/>
    <w:rsid w:val="009B1ECA"/>
    <w:rsid w:val="009B34E0"/>
    <w:rsid w:val="009F7286"/>
    <w:rsid w:val="00A24B7A"/>
    <w:rsid w:val="00A544CC"/>
    <w:rsid w:val="00A65CE8"/>
    <w:rsid w:val="00AA6770"/>
    <w:rsid w:val="00AE2875"/>
    <w:rsid w:val="00B03809"/>
    <w:rsid w:val="00B0707D"/>
    <w:rsid w:val="00B33463"/>
    <w:rsid w:val="00B40381"/>
    <w:rsid w:val="00B431AD"/>
    <w:rsid w:val="00B7452B"/>
    <w:rsid w:val="00BA211B"/>
    <w:rsid w:val="00BB55BD"/>
    <w:rsid w:val="00C22D36"/>
    <w:rsid w:val="00C25E47"/>
    <w:rsid w:val="00C5247C"/>
    <w:rsid w:val="00CE2A11"/>
    <w:rsid w:val="00D55412"/>
    <w:rsid w:val="00D82075"/>
    <w:rsid w:val="00D86711"/>
    <w:rsid w:val="00DB69AD"/>
    <w:rsid w:val="00DD0E43"/>
    <w:rsid w:val="00DD5C85"/>
    <w:rsid w:val="00DE695D"/>
    <w:rsid w:val="00DF3783"/>
    <w:rsid w:val="00E00DA8"/>
    <w:rsid w:val="00E23B4A"/>
    <w:rsid w:val="00E42716"/>
    <w:rsid w:val="00E43FB8"/>
    <w:rsid w:val="00EC1AA7"/>
    <w:rsid w:val="00FA388A"/>
    <w:rsid w:val="00FA78B9"/>
    <w:rsid w:val="00FB339C"/>
    <w:rsid w:val="00FD0C75"/>
    <w:rsid w:val="00FD3BE1"/>
    <w:rsid w:val="08CF7D43"/>
    <w:rsid w:val="1B73148C"/>
    <w:rsid w:val="2D4F430E"/>
    <w:rsid w:val="2F379E16"/>
    <w:rsid w:val="363FE86F"/>
    <w:rsid w:val="37DB8E10"/>
    <w:rsid w:val="3D9C1BC2"/>
    <w:rsid w:val="3FDD9A31"/>
    <w:rsid w:val="3FEF1D83"/>
    <w:rsid w:val="3FFFCFAD"/>
    <w:rsid w:val="53F61626"/>
    <w:rsid w:val="5571CD1D"/>
    <w:rsid w:val="56BECD54"/>
    <w:rsid w:val="5B14C4C7"/>
    <w:rsid w:val="5CDAD7EC"/>
    <w:rsid w:val="5DFF73DD"/>
    <w:rsid w:val="5F9536E1"/>
    <w:rsid w:val="5FD031F1"/>
    <w:rsid w:val="5FFB3963"/>
    <w:rsid w:val="62BC2B1A"/>
    <w:rsid w:val="6A5F0BC1"/>
    <w:rsid w:val="6BED8C6B"/>
    <w:rsid w:val="6D7F346E"/>
    <w:rsid w:val="6F5B9128"/>
    <w:rsid w:val="6F5F614E"/>
    <w:rsid w:val="6F67F133"/>
    <w:rsid w:val="7359CCED"/>
    <w:rsid w:val="73FA4624"/>
    <w:rsid w:val="75766430"/>
    <w:rsid w:val="76FE3A39"/>
    <w:rsid w:val="7715A82F"/>
    <w:rsid w:val="7732F2DA"/>
    <w:rsid w:val="790FFA7B"/>
    <w:rsid w:val="79799EFA"/>
    <w:rsid w:val="7997ED0A"/>
    <w:rsid w:val="7BC5FE68"/>
    <w:rsid w:val="7BFE2948"/>
    <w:rsid w:val="7C6275DD"/>
    <w:rsid w:val="7D52C19A"/>
    <w:rsid w:val="7D7A1B30"/>
    <w:rsid w:val="7DDFF326"/>
    <w:rsid w:val="7E6B57F4"/>
    <w:rsid w:val="7EF5C91E"/>
    <w:rsid w:val="7EFF1073"/>
    <w:rsid w:val="7F7F237D"/>
    <w:rsid w:val="7F95D360"/>
    <w:rsid w:val="7F9E18A0"/>
    <w:rsid w:val="7FA61BC4"/>
    <w:rsid w:val="7FBE127F"/>
    <w:rsid w:val="7FEF6518"/>
    <w:rsid w:val="7FEFF577"/>
    <w:rsid w:val="7FF622F8"/>
    <w:rsid w:val="9AFBA6E8"/>
    <w:rsid w:val="ADDFFBF4"/>
    <w:rsid w:val="B7F0BCF0"/>
    <w:rsid w:val="BBDB91D4"/>
    <w:rsid w:val="BFDB4794"/>
    <w:rsid w:val="BFDF4DE6"/>
    <w:rsid w:val="CA79FF47"/>
    <w:rsid w:val="CB72C165"/>
    <w:rsid w:val="CFBF2667"/>
    <w:rsid w:val="DBFB2E89"/>
    <w:rsid w:val="DEFBEF25"/>
    <w:rsid w:val="E9FF7F1F"/>
    <w:rsid w:val="ED9F2DDF"/>
    <w:rsid w:val="EEAFB34A"/>
    <w:rsid w:val="EF7F71D1"/>
    <w:rsid w:val="F3F760A4"/>
    <w:rsid w:val="F6E78D9B"/>
    <w:rsid w:val="F73141BA"/>
    <w:rsid w:val="F74F168E"/>
    <w:rsid w:val="F85FFF68"/>
    <w:rsid w:val="FCC6F131"/>
    <w:rsid w:val="FDFED542"/>
    <w:rsid w:val="FE3FDE11"/>
    <w:rsid w:val="FEDF155C"/>
    <w:rsid w:val="FEFF8AFF"/>
    <w:rsid w:val="FF628532"/>
    <w:rsid w:val="FFBF6A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240" w:lineRule="atLeast"/>
      <w:ind w:firstLine="420" w:firstLineChars="200"/>
    </w:pPr>
    <w:rPr>
      <w:rFonts w:ascii="Calibri" w:hAnsi="Calibri" w:eastAsia="仿宋_GB2312" w:cs="Calibri"/>
      <w:sz w:val="32"/>
      <w:szCs w:val="32"/>
    </w:rPr>
  </w:style>
  <w:style w:type="paragraph" w:styleId="3">
    <w:name w:val="Body Text"/>
    <w:basedOn w:val="1"/>
    <w:qFormat/>
    <w:uiPriority w:val="0"/>
    <w:rPr>
      <w:rFonts w:eastAsia="文星仿宋" w:cs="Times New Roman"/>
      <w:kern w:val="0"/>
      <w:sz w:val="24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"/>
    <w:basedOn w:val="3"/>
    <w:qFormat/>
    <w:uiPriority w:val="99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 Char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4">
    <w:name w:val=" Char Char1"/>
    <w:basedOn w:val="10"/>
    <w:link w:val="5"/>
    <w:qFormat/>
    <w:uiPriority w:val="0"/>
    <w:rPr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cs="Calibri"/>
      <w:kern w:val="0"/>
      <w:szCs w:val="21"/>
    </w:rPr>
  </w:style>
  <w:style w:type="paragraph" w:customStyle="1" w:styleId="16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5</Pages>
  <Words>1277</Words>
  <Characters>1328</Characters>
  <Lines>12</Lines>
  <Paragraphs>3</Paragraphs>
  <TotalTime>19</TotalTime>
  <ScaleCrop>false</ScaleCrop>
  <LinksUpToDate>false</LinksUpToDate>
  <CharactersWithSpaces>1501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2018-04-08T08:43:00Z</dcterms:created>
  <dc:creator>Administrator</dc:creator>
  <cp:lastModifiedBy>huanghe</cp:lastModifiedBy>
  <cp:lastPrinted>2023-05-09T00:42:00Z</cp:lastPrinted>
  <dcterms:modified xsi:type="dcterms:W3CDTF">2023-05-08T16:51:06Z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40A8A3498FB04CDCB3327B7C19C2C446_12</vt:lpwstr>
  </property>
</Properties>
</file>